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Fasadändring</w:t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93.3333333333335"/>
        <w:gridCol w:w="1916.6666666666665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93.3333333333335"/>
            <w:gridCol w:w="1916.6666666666665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Tillämpliga energikrav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9:9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Energiberäkning/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U-värdes-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Rätt brandklass mellan byggnader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Kontroll/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5:611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Bygglovshandling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Brandspridning via fönster i yttervägg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Håltagning genom fasad och upphängningsanordningar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Avskiljning mot loftgångar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Brandsäkra Rökkanaler /imkanaler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Avfallshantering, invenering av farligt avfall, sortering av avfall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Miljöbalken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Naturvårdsverkets handbok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Rivning och 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Mottagnings-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kvitto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Estetiska och antikvariska värden beakta- de vid åtgärden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 8:13, 8:17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Övriga tillämpliga kontrollpunkter för aktuell åtgärd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20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22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26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4N7xtDzQRuk7f/Qrd6mJFQxXtA==">CgMxLjAyCGguZ2pkZ3hzOAByITFDS3dQSktNLW1vQ3ZKLUtxMGY3VmpfaUFpdUZibmgwUw==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2023-06-02T08:33:00Z</dcterms:created>
  <dc:creator>Roos Niclas</dc:creator>
</cp:coreProperties>
</file>